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Politique Fournisseurs et Sous-Traitants</w:t>
      </w:r>
    </w:p>
    <w:p>
      <w:r>
        <w:t>Entreprise : OptiValue.ai</w:t>
        <w:br/>
        <w:t>Version : 1.0</w:t>
        <w:br/>
        <w:t>Date : 03/09/2025</w:t>
        <w:br/>
        <w:t>Auteur : Département Achats, Éthique &amp; Conformité</w:t>
        <w:br/>
        <w:br/>
      </w:r>
    </w:p>
    <w:p>
      <w:pPr>
        <w:pStyle w:val="Heading2"/>
      </w:pPr>
      <w:r>
        <w:t>Introduction</w:t>
      </w:r>
    </w:p>
    <w:p>
      <w:r>
        <w:t>Cette politique encadre la sélection, la gestion et l'évaluation des fournisseurs et sous-traitants d’OptiValue.ai. Elle s’appuie sur les exigences réglementaires (CSDDD, CSRD, RGPD), les standards internationaux (ISO 9001, ISO 14001, ISO 20400) et les meilleures pratiques en matière d’achats responsables et éthiques. Elle vise à renforcer la transparence, la durabilité et l’éthique dans toute la chaîne d’approvisionnement.</w:t>
      </w:r>
    </w:p>
    <w:p>
      <w:pPr>
        <w:pStyle w:val="Heading2"/>
      </w:pPr>
      <w:r>
        <w:t>1. Objectifs</w:t>
      </w:r>
    </w:p>
    <w:p>
      <w:r>
        <w:t>• Sélectionner des partenaires alignés avec nos valeurs éthiques et durables.</w:t>
        <w:br/>
        <w:t>• Prévenir les risques sociaux, environnementaux, et de conformité.</w:t>
        <w:br/>
        <w:t>• Assurer une traçabilité complète des activités des fournisseurs critiques.</w:t>
        <w:br/>
        <w:t>• Intégrer la durabilité dans tous les processus d’achats et de sous-traitance.</w:t>
      </w:r>
    </w:p>
    <w:p>
      <w:pPr>
        <w:pStyle w:val="Heading2"/>
      </w:pPr>
      <w:r>
        <w:t>2. Principes Fondamentaux</w:t>
      </w:r>
    </w:p>
    <w:p>
      <w:r>
        <w:t>• Respect des droits humains et des conditions de travail décentes (conformité aux conventions de l’OIT).</w:t>
        <w:br/>
        <w:t>• Prévention de la corruption et des conflits d’intérêts.</w:t>
        <w:br/>
        <w:t>• Respect des normes environnementales et promotion des solutions durables.</w:t>
        <w:br/>
        <w:t>• Protection des données personnelles et confidentialité (RGPD, ISO 27701).</w:t>
        <w:br/>
        <w:t>• Transparence sur les pratiques de production, de sécurité et de gouvernance.</w:t>
      </w:r>
    </w:p>
    <w:p>
      <w:pPr>
        <w:pStyle w:val="Heading2"/>
      </w:pPr>
      <w:r>
        <w:t>3. Processus de Sélection</w:t>
      </w:r>
    </w:p>
    <w:p>
      <w:r>
        <w:t>• Évaluation initiale basée sur des critères ESG (Environnement, Social, Gouvernance).</w:t>
        <w:br/>
        <w:t>• Vérification des certifications et des audits disponibles.</w:t>
        <w:br/>
        <w:t>• Due diligence renforcée pour les fournisseurs critiques ou en zones à risque.</w:t>
        <w:br/>
        <w:t>• Intégration des résultats dans le registre de la chaîne d’approvisionnement.</w:t>
      </w:r>
    </w:p>
    <w:p>
      <w:pPr>
        <w:pStyle w:val="Heading2"/>
      </w:pPr>
      <w:r>
        <w:t>4. Engagement Contractuel</w:t>
      </w:r>
    </w:p>
    <w:p>
      <w:r>
        <w:t>• Inclusion de clauses éthiques et de conformité dans tous les contrats fournisseurs.</w:t>
        <w:br/>
        <w:t>• Obligation de reporting régulier sur les performances ESG.</w:t>
        <w:br/>
        <w:t>• Droit d’audit d’OptiValue.ai pour vérifier la conformité aux exigences contractuelles.</w:t>
        <w:br/>
        <w:t>• Sanctions contractuelles en cas de violation majeure (résiliation, plan correctif obligatoire).</w:t>
      </w:r>
    </w:p>
    <w:p>
      <w:pPr>
        <w:pStyle w:val="Heading2"/>
      </w:pPr>
      <w:r>
        <w:t>5. Surveillance et Audit</w:t>
      </w:r>
    </w:p>
    <w:p>
      <w:r>
        <w:t>• Audits réguliers des fournisseurs critiques (trimestriels ou annuels selon le niveau de risque).</w:t>
        <w:br/>
        <w:t>• Utilisation de plateformes d’analyse et de suivi comme ComplianceHub.ai.</w:t>
        <w:br/>
        <w:t>• Détection proactive des écarts via IA et alertes automatiques.</w:t>
        <w:br/>
        <w:t>• Reporting centralisé des résultats au Comité Éthique et Conformité.</w:t>
      </w:r>
    </w:p>
    <w:p>
      <w:pPr>
        <w:pStyle w:val="Heading2"/>
      </w:pPr>
      <w:r>
        <w:t>6. Registre des Fournisseurs</w:t>
      </w:r>
    </w:p>
    <w:p>
      <w:r>
        <w:t>Un registre détaillé est maintenu pour suivre les informations clés sur chaque fournisseur et sous-traitant : données d’identification, domaine d’activité, niveau de criticité, résultats d’audits, et plans de remédiation.</w:t>
      </w:r>
    </w:p>
    <w:tbl>
      <w:tblPr>
        <w:tblW w:type="auto" w:w="0"/>
        <w:tblLook w:firstColumn="1" w:firstRow="1" w:lastColumn="0" w:lastRow="0" w:noHBand="0" w:noVBand="1" w:val="04A0"/>
      </w:tblPr>
      <w:tblGrid>
        <w:gridCol w:w="1234"/>
        <w:gridCol w:w="1234"/>
        <w:gridCol w:w="1234"/>
        <w:gridCol w:w="1234"/>
        <w:gridCol w:w="1234"/>
        <w:gridCol w:w="1234"/>
        <w:gridCol w:w="1234"/>
      </w:tblGrid>
      <w:tr>
        <w:tc>
          <w:tcPr>
            <w:tcW w:type="dxa" w:w="1234"/>
          </w:tcPr>
          <w:p>
            <w:r>
              <w:t>ID Fournisseur</w:t>
            </w:r>
          </w:p>
        </w:tc>
        <w:tc>
          <w:tcPr>
            <w:tcW w:type="dxa" w:w="1234"/>
          </w:tcPr>
          <w:p>
            <w:r>
              <w:t>Nom</w:t>
            </w:r>
          </w:p>
        </w:tc>
        <w:tc>
          <w:tcPr>
            <w:tcW w:type="dxa" w:w="1234"/>
          </w:tcPr>
          <w:p>
            <w:r>
              <w:t>Pays</w:t>
            </w:r>
          </w:p>
        </w:tc>
        <w:tc>
          <w:tcPr>
            <w:tcW w:type="dxa" w:w="1234"/>
          </w:tcPr>
          <w:p>
            <w:r>
              <w:t>Secteur</w:t>
            </w:r>
          </w:p>
        </w:tc>
        <w:tc>
          <w:tcPr>
            <w:tcW w:type="dxa" w:w="1234"/>
          </w:tcPr>
          <w:p>
            <w:r>
              <w:t>Criticité</w:t>
            </w:r>
          </w:p>
        </w:tc>
        <w:tc>
          <w:tcPr>
            <w:tcW w:type="dxa" w:w="1234"/>
          </w:tcPr>
          <w:p>
            <w:r>
              <w:t>Dernier Audit</w:t>
            </w:r>
          </w:p>
        </w:tc>
        <w:tc>
          <w:tcPr>
            <w:tcW w:type="dxa" w:w="1234"/>
          </w:tcPr>
          <w:p>
            <w:r>
              <w:t>Statut</w:t>
            </w:r>
          </w:p>
        </w:tc>
      </w:tr>
      <w:tr>
        <w:tc>
          <w:tcPr>
            <w:tcW w:type="dxa" w:w="1234"/>
          </w:tcPr>
          <w:p>
            <w:r>
              <w:t>F-001</w:t>
            </w:r>
          </w:p>
        </w:tc>
        <w:tc>
          <w:tcPr>
            <w:tcW w:type="dxa" w:w="1234"/>
          </w:tcPr>
          <w:p>
            <w:r>
              <w:t>GreenSupply Asia</w:t>
            </w:r>
          </w:p>
        </w:tc>
        <w:tc>
          <w:tcPr>
            <w:tcW w:type="dxa" w:w="1234"/>
          </w:tcPr>
          <w:p>
            <w:r>
              <w:t>Vietnam</w:t>
            </w:r>
          </w:p>
        </w:tc>
        <w:tc>
          <w:tcPr>
            <w:tcW w:type="dxa" w:w="1234"/>
          </w:tcPr>
          <w:p>
            <w:r>
              <w:t>Fabrication électronique</w:t>
            </w:r>
          </w:p>
        </w:tc>
        <w:tc>
          <w:tcPr>
            <w:tcW w:type="dxa" w:w="1234"/>
          </w:tcPr>
          <w:p>
            <w:r>
              <w:t>Élevée</w:t>
            </w:r>
          </w:p>
        </w:tc>
        <w:tc>
          <w:tcPr>
            <w:tcW w:type="dxa" w:w="1234"/>
          </w:tcPr>
          <w:p>
            <w:r>
              <w:t>2025-06-15</w:t>
            </w:r>
          </w:p>
        </w:tc>
        <w:tc>
          <w:tcPr>
            <w:tcW w:type="dxa" w:w="1234"/>
          </w:tcPr>
          <w:p>
            <w:r>
              <w:t>Plan de remédiation en cours</w:t>
            </w:r>
          </w:p>
        </w:tc>
      </w:tr>
      <w:tr>
        <w:tc>
          <w:tcPr>
            <w:tcW w:type="dxa" w:w="1234"/>
          </w:tcPr>
          <w:p>
            <w:r>
              <w:t>F-002</w:t>
            </w:r>
          </w:p>
        </w:tc>
        <w:tc>
          <w:tcPr>
            <w:tcW w:type="dxa" w:w="1234"/>
          </w:tcPr>
          <w:p>
            <w:r>
              <w:t>EcoPackaging Ltd</w:t>
            </w:r>
          </w:p>
        </w:tc>
        <w:tc>
          <w:tcPr>
            <w:tcW w:type="dxa" w:w="1234"/>
          </w:tcPr>
          <w:p>
            <w:r>
              <w:t>Allemagne</w:t>
            </w:r>
          </w:p>
        </w:tc>
        <w:tc>
          <w:tcPr>
            <w:tcW w:type="dxa" w:w="1234"/>
          </w:tcPr>
          <w:p>
            <w:r>
              <w:t>Packaging durable</w:t>
            </w:r>
          </w:p>
        </w:tc>
        <w:tc>
          <w:tcPr>
            <w:tcW w:type="dxa" w:w="1234"/>
          </w:tcPr>
          <w:p>
            <w:r>
              <w:t>Faible</w:t>
            </w:r>
          </w:p>
        </w:tc>
        <w:tc>
          <w:tcPr>
            <w:tcW w:type="dxa" w:w="1234"/>
          </w:tcPr>
          <w:p>
            <w:r>
              <w:t>2025-07-01</w:t>
            </w:r>
          </w:p>
        </w:tc>
        <w:tc>
          <w:tcPr>
            <w:tcW w:type="dxa" w:w="1234"/>
          </w:tcPr>
          <w:p>
            <w:r>
              <w:t>Conforme</w:t>
            </w:r>
          </w:p>
        </w:tc>
      </w:tr>
      <w:tr>
        <w:tc>
          <w:tcPr>
            <w:tcW w:type="dxa" w:w="1234"/>
          </w:tcPr>
          <w:p>
            <w:r>
              <w:t>F-003</w:t>
            </w:r>
          </w:p>
        </w:tc>
        <w:tc>
          <w:tcPr>
            <w:tcW w:type="dxa" w:w="1234"/>
          </w:tcPr>
          <w:p>
            <w:r>
              <w:t>DataCloud Europe</w:t>
            </w:r>
          </w:p>
        </w:tc>
        <w:tc>
          <w:tcPr>
            <w:tcW w:type="dxa" w:w="1234"/>
          </w:tcPr>
          <w:p>
            <w:r>
              <w:t>France</w:t>
            </w:r>
          </w:p>
        </w:tc>
        <w:tc>
          <w:tcPr>
            <w:tcW w:type="dxa" w:w="1234"/>
          </w:tcPr>
          <w:p>
            <w:r>
              <w:t>Cloud services</w:t>
            </w:r>
          </w:p>
        </w:tc>
        <w:tc>
          <w:tcPr>
            <w:tcW w:type="dxa" w:w="1234"/>
          </w:tcPr>
          <w:p>
            <w:r>
              <w:t>Moyenne</w:t>
            </w:r>
          </w:p>
        </w:tc>
        <w:tc>
          <w:tcPr>
            <w:tcW w:type="dxa" w:w="1234"/>
          </w:tcPr>
          <w:p>
            <w:r>
              <w:t>2025-05-20</w:t>
            </w:r>
          </w:p>
        </w:tc>
        <w:tc>
          <w:tcPr>
            <w:tcW w:type="dxa" w:w="1234"/>
          </w:tcPr>
          <w:p>
            <w:r>
              <w:t>Conforme</w:t>
            </w:r>
          </w:p>
        </w:tc>
      </w:tr>
      <w:tr>
        <w:tc>
          <w:tcPr>
            <w:tcW w:type="dxa" w:w="1234"/>
          </w:tcPr>
          <w:p>
            <w:r>
              <w:t>F-004</w:t>
            </w:r>
          </w:p>
        </w:tc>
        <w:tc>
          <w:tcPr>
            <w:tcW w:type="dxa" w:w="1234"/>
          </w:tcPr>
          <w:p>
            <w:r>
              <w:t>AICompute Labs</w:t>
            </w:r>
          </w:p>
        </w:tc>
        <w:tc>
          <w:tcPr>
            <w:tcW w:type="dxa" w:w="1234"/>
          </w:tcPr>
          <w:p>
            <w:r>
              <w:t>États-Unis</w:t>
            </w:r>
          </w:p>
        </w:tc>
        <w:tc>
          <w:tcPr>
            <w:tcW w:type="dxa" w:w="1234"/>
          </w:tcPr>
          <w:p>
            <w:r>
              <w:t>Infrastructures IA</w:t>
            </w:r>
          </w:p>
        </w:tc>
        <w:tc>
          <w:tcPr>
            <w:tcW w:type="dxa" w:w="1234"/>
          </w:tcPr>
          <w:p>
            <w:r>
              <w:t>Élevée</w:t>
            </w:r>
          </w:p>
        </w:tc>
        <w:tc>
          <w:tcPr>
            <w:tcW w:type="dxa" w:w="1234"/>
          </w:tcPr>
          <w:p>
            <w:r>
              <w:t>2025-08-10</w:t>
            </w:r>
          </w:p>
        </w:tc>
        <w:tc>
          <w:tcPr>
            <w:tcW w:type="dxa" w:w="1234"/>
          </w:tcPr>
          <w:p>
            <w:r>
              <w:t>En surveillance</w:t>
            </w:r>
          </w:p>
        </w:tc>
      </w:tr>
    </w:tbl>
    <w:p>
      <w:pPr>
        <w:pStyle w:val="Heading2"/>
      </w:pPr>
      <w:r>
        <w:t>7. Formation et Sensibilisation</w:t>
      </w:r>
    </w:p>
    <w:p>
      <w:r>
        <w:t>• Sessions de formation annuelles pour les équipes Achats et Conformité.</w:t>
        <w:br/>
        <w:t>• Ateliers spécifiques pour la gestion des risques ESG.</w:t>
        <w:br/>
        <w:t>• Documentation interactive disponible via l’intranet et ComplianceHub.ai.</w:t>
      </w:r>
    </w:p>
    <w:p>
      <w:pPr>
        <w:pStyle w:val="Heading2"/>
      </w:pPr>
      <w:r>
        <w:t>8. Amélioration Continue</w:t>
      </w:r>
    </w:p>
    <w:p>
      <w:r>
        <w:t>• Revue annuelle des processus de sélection et de suivi.</w:t>
        <w:br/>
        <w:t>• Mise à jour des critères ESG en fonction des évolutions réglementaires et technologiques.</w:t>
        <w:br/>
        <w:t>• Consultation régulière des parties prenantes pour ajuster la politique.</w:t>
      </w:r>
    </w:p>
    <w:p>
      <w:pPr>
        <w:pStyle w:val="Heading2"/>
      </w:pPr>
      <w:r>
        <w:t>9. Annexes</w:t>
      </w:r>
    </w:p>
    <w:p>
      <w:r>
        <w:t>• Modèle de questionnaire de due diligence.</w:t>
        <w:br/>
        <w:t>• Grille d’évaluation des risques fournisseurs.</w:t>
        <w:br/>
        <w:t>• Exemples de clauses contractuelles standardisées.</w:t>
        <w:br/>
        <w:t>• Historique des audits et plans de remédiation.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