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Rapport KRI/KPI RGPD</w:t>
      </w:r>
    </w:p>
    <w:p>
      <w:r>
        <w:t>Entreprise : OptiValue.ai</w:t>
        <w:br/>
        <w:t>Version : 1.0</w:t>
        <w:br/>
        <w:t>Date : 03/09/2025</w:t>
        <w:br/>
        <w:t>Auteur : Délégué à la Protection des Données (DPO)</w:t>
        <w:br/>
        <w:br/>
      </w:r>
    </w:p>
    <w:p>
      <w:pPr>
        <w:pStyle w:val="Heading2"/>
      </w:pPr>
      <w:r>
        <w:t>Introduction</w:t>
      </w:r>
    </w:p>
    <w:p>
      <w:r>
        <w:t>Ce rapport présente les principaux indicateurs clés de performance (KPI) et de risque (KRI) liés à la conformité RGPD chez OptiValue.ai. Il permet un suivi continu des incidents, des délais de notification, des formations, et des réinspections pour garantir une conformité proactive et mesurable.</w:t>
      </w:r>
    </w:p>
    <w:p>
      <w:pPr>
        <w:pStyle w:val="Heading2"/>
      </w:pPr>
      <w:r>
        <w:t>1. KPI - Indicateurs de Performance</w:t>
      </w:r>
    </w:p>
    <w:p>
      <w:r>
        <w:t>• **Nombre de traitements documentés dans le registre** : 156 (100% à jour).</w:t>
        <w:br/>
        <w:t>• **Formations DPO &amp; équipes complétées** : 98%.</w:t>
        <w:br/>
        <w:t>• **Durée moyenne de traitement des demandes RGPD (DSAR)** : 12 jours (objectif &lt; 30 jours).</w:t>
        <w:br/>
        <w:t>• **Mise à jour des politiques de confidentialité** : 100% (révision trimestrielle).</w:t>
        <w:br/>
        <w:t>• **Taux de conformité des audits internes** : 97%.</w:t>
        <w:br/>
      </w:r>
    </w:p>
    <w:p>
      <w:pPr>
        <w:pStyle w:val="Heading2"/>
      </w:pPr>
      <w:r>
        <w:t>2. KRI - Indicateurs de Risque</w:t>
      </w:r>
    </w:p>
    <w:p>
      <w:r>
        <w:t>• **Nombre total d’incidents de données** : 4 (sur les 12 derniers mois).</w:t>
        <w:br/>
        <w:t>• **Gravité moyenne des incidents** : Faible à modérée (aucun incident critique).</w:t>
        <w:br/>
        <w:t>• **Délai moyen de notification à l’autorité compétente** : 26h (objectif &lt; 72h).</w:t>
        <w:br/>
        <w:t>• **Nombre de reinspections suite à audits externes** : 3 (toutes clôturées avec succès).</w:t>
        <w:br/>
        <w:t>• **Nombre de risques résiduels critiques** : 0.</w:t>
        <w:br/>
      </w:r>
    </w:p>
    <w:p>
      <w:pPr>
        <w:pStyle w:val="Heading2"/>
      </w:pPr>
      <w:r>
        <w:t>3. Analyse des Tendances</w:t>
      </w:r>
    </w:p>
    <w:p>
      <w:r>
        <w:t>L’analyse des 12 derniers mois montre :</w:t>
        <w:br/>
        <w:t>• Une réduction de 20% des incidents par rapport à l’année précédente grâce à l’automatisation.</w:t>
        <w:br/>
        <w:t>• Une amélioration notable des délais de réponse suite aux exercices trimestriels.</w:t>
        <w:br/>
        <w:t>• Une conformité renforcée grâce aux audits préventifs et aux formations ciblées.</w:t>
      </w:r>
    </w:p>
    <w:p>
      <w:pPr>
        <w:pStyle w:val="Heading2"/>
      </w:pPr>
      <w:r>
        <w:t>4. Recommandations</w:t>
      </w:r>
    </w:p>
    <w:p>
      <w:r>
        <w:t>• Maintenir la formation continue avec un objectif de 100% de complétion.</w:t>
        <w:br/>
        <w:t>• Renforcer la détection proactive via IA pour réduire encore les incidents mineurs.</w:t>
        <w:br/>
        <w:t>• Augmenter la fréquence des réinspections pour les processus critiques.</w:t>
        <w:br/>
        <w:t>• Améliorer la communication interne autour des incidents et plans de remédiation.</w:t>
      </w:r>
    </w:p>
    <w:p>
      <w:pPr>
        <w:pStyle w:val="Heading2"/>
      </w:pPr>
      <w:r>
        <w:t>5. Tableaux de Bord</w:t>
      </w:r>
    </w:p>
    <w:p>
      <w:r>
        <w:t>Des tableaux de bord interactifs sont disponibles sur ComplianceHub.ai, offrant :</w:t>
        <w:br/>
        <w:t>• Suivi en temps réel des incidents.</w:t>
        <w:br/>
        <w:t>• Heatmaps des zones de risque.</w:t>
        <w:br/>
        <w:t>• Statistiques par département et par filière.</w:t>
        <w:br/>
        <w:t>• Rapports exportables pour le Comité de Gouvernance et le Conseil d’Administration.</w:t>
      </w:r>
    </w:p>
    <w:p>
      <w:pPr>
        <w:pStyle w:val="Heading2"/>
      </w:pPr>
      <w:r>
        <w:t>Annexes</w:t>
      </w:r>
    </w:p>
    <w:p>
      <w:r>
        <w:t>• Historique détaillé des incidents RGPD.</w:t>
        <w:br/>
        <w:t>• Graphiques d’évolution des KPI et KRI sur 24 mois.</w:t>
        <w:br/>
        <w:t>• Détail des plans d’actions en cours.</w:t>
        <w:br/>
        <w:t>• Exemples de rapports d’audit interne et externe.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