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Registre des Traitements - DPO</w:t>
      </w:r>
    </w:p>
    <w:p>
      <w:r>
        <w:t>Entreprise : OptiValue.ai</w:t>
        <w:br/>
        <w:t>Version : 1.0</w:t>
        <w:br/>
        <w:t>Date : 03/09/2025</w:t>
        <w:br/>
        <w:t>Auteur : Délégué à la Protection des Données (DPO)</w:t>
        <w:br/>
        <w:br/>
      </w:r>
    </w:p>
    <w:p>
      <w:pPr>
        <w:pStyle w:val="Heading2"/>
      </w:pPr>
      <w:r>
        <w:t>Introduction</w:t>
      </w:r>
    </w:p>
    <w:p>
      <w:r>
        <w:t>Le présent registre des traitements de données personnelles est tenu par le Délégué à la Protection des Données (DPO) d’OptiValue.ai, conformément à l'article 30 du RGPD. Il constitue une preuve de transparence et de conformité, et est mis à jour en continu grâce à l’intégration automatisée avec la plateforme ComplianceHub.ai.</w:t>
      </w:r>
    </w:p>
    <w:p>
      <w:pPr>
        <w:pStyle w:val="Heading2"/>
      </w:pPr>
      <w:r>
        <w:t>1. Gouvernance et Processus de Mise à Jour</w:t>
      </w:r>
    </w:p>
    <w:p>
      <w:r>
        <w:t>• Mise à jour automatique des registres en temps réel via l’IA.</w:t>
        <w:br/>
        <w:t>• Validation mensuelle par le DPO et les Privacy Champions.</w:t>
        <w:br/>
        <w:t>• Audit interne trimestriel et audit externe annuel certifié ISO 27701.</w:t>
        <w:br/>
        <w:t>• Intégration directe avec le registre des risques et le registre des obligations.</w:t>
        <w:br/>
      </w:r>
    </w:p>
    <w:p>
      <w:pPr>
        <w:pStyle w:val="Heading2"/>
      </w:pPr>
      <w:r>
        <w:t>2. Tableau des Traitements</w:t>
      </w:r>
    </w:p>
    <w:p>
      <w:r>
        <w:t>Chaque traitement est documenté avec des informations détaillées, incluant finalité, base légale, localisation des données, durée de conservation et mesures de sécurité mises en place.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>
        <w:tc>
          <w:tcPr>
            <w:tcW w:type="dxa" w:w="960"/>
          </w:tcPr>
          <w:p>
            <w:r>
              <w:t>Réf</w:t>
            </w:r>
          </w:p>
        </w:tc>
        <w:tc>
          <w:tcPr>
            <w:tcW w:type="dxa" w:w="960"/>
          </w:tcPr>
          <w:p>
            <w:r>
              <w:t>Nom du traitement</w:t>
            </w:r>
          </w:p>
        </w:tc>
        <w:tc>
          <w:tcPr>
            <w:tcW w:type="dxa" w:w="960"/>
          </w:tcPr>
          <w:p>
            <w:r>
              <w:t>Finalité</w:t>
            </w:r>
          </w:p>
        </w:tc>
        <w:tc>
          <w:tcPr>
            <w:tcW w:type="dxa" w:w="960"/>
          </w:tcPr>
          <w:p>
            <w:r>
              <w:t>Base légale</w:t>
            </w:r>
          </w:p>
        </w:tc>
        <w:tc>
          <w:tcPr>
            <w:tcW w:type="dxa" w:w="960"/>
          </w:tcPr>
          <w:p>
            <w:r>
              <w:t>Catégories de données</w:t>
            </w:r>
          </w:p>
        </w:tc>
        <w:tc>
          <w:tcPr>
            <w:tcW w:type="dxa" w:w="960"/>
          </w:tcPr>
          <w:p>
            <w:r>
              <w:t>Responsable</w:t>
            </w:r>
          </w:p>
        </w:tc>
        <w:tc>
          <w:tcPr>
            <w:tcW w:type="dxa" w:w="960"/>
          </w:tcPr>
          <w:p>
            <w:r>
              <w:t>Durée conservation</w:t>
            </w:r>
          </w:p>
        </w:tc>
        <w:tc>
          <w:tcPr>
            <w:tcW w:type="dxa" w:w="960"/>
          </w:tcPr>
          <w:p>
            <w:r>
              <w:t>Mesures de sécurité</w:t>
            </w:r>
          </w:p>
        </w:tc>
        <w:tc>
          <w:tcPr>
            <w:tcW w:type="dxa" w:w="960"/>
          </w:tcPr>
          <w:p>
            <w:r>
              <w:t>Statut conformité</w:t>
            </w:r>
          </w:p>
        </w:tc>
      </w:tr>
      <w:tr>
        <w:tc>
          <w:tcPr>
            <w:tcW w:type="dxa" w:w="960"/>
          </w:tcPr>
          <w:p>
            <w:r>
              <w:t>RT-001</w:t>
            </w:r>
          </w:p>
        </w:tc>
        <w:tc>
          <w:tcPr>
            <w:tcW w:type="dxa" w:w="960"/>
          </w:tcPr>
          <w:p>
            <w:r>
              <w:t>Plateforme SaaS Clients</w:t>
            </w:r>
          </w:p>
        </w:tc>
        <w:tc>
          <w:tcPr>
            <w:tcW w:type="dxa" w:w="960"/>
          </w:tcPr>
          <w:p>
            <w:r>
              <w:t>Gestion des comptes clients et analytics</w:t>
            </w:r>
          </w:p>
        </w:tc>
        <w:tc>
          <w:tcPr>
            <w:tcW w:type="dxa" w:w="960"/>
          </w:tcPr>
          <w:p>
            <w:r>
              <w:t>Contrat + Consentement</w:t>
            </w:r>
          </w:p>
        </w:tc>
        <w:tc>
          <w:tcPr>
            <w:tcW w:type="dxa" w:w="960"/>
          </w:tcPr>
          <w:p>
            <w:r>
              <w:t>Identifiants, logs, données d’utilisation</w:t>
            </w:r>
          </w:p>
        </w:tc>
        <w:tc>
          <w:tcPr>
            <w:tcW w:type="dxa" w:w="960"/>
          </w:tcPr>
          <w:p>
            <w:r>
              <w:t>Head of Product</w:t>
            </w:r>
          </w:p>
        </w:tc>
        <w:tc>
          <w:tcPr>
            <w:tcW w:type="dxa" w:w="960"/>
          </w:tcPr>
          <w:p>
            <w:r>
              <w:t>5 ans après suppression</w:t>
            </w:r>
          </w:p>
        </w:tc>
        <w:tc>
          <w:tcPr>
            <w:tcW w:type="dxa" w:w="960"/>
          </w:tcPr>
          <w:p>
            <w:r>
              <w:t>Chiffrement AES-256, MFA, SOC 24/7</w:t>
            </w:r>
          </w:p>
        </w:tc>
        <w:tc>
          <w:tcPr>
            <w:tcW w:type="dxa" w:w="960"/>
          </w:tcPr>
          <w:p>
            <w:r>
              <w:t>Conforme</w:t>
            </w:r>
          </w:p>
        </w:tc>
      </w:tr>
      <w:tr>
        <w:tc>
          <w:tcPr>
            <w:tcW w:type="dxa" w:w="960"/>
          </w:tcPr>
          <w:p>
            <w:r>
              <w:t>RT-002</w:t>
            </w:r>
          </w:p>
        </w:tc>
        <w:tc>
          <w:tcPr>
            <w:tcW w:type="dxa" w:w="960"/>
          </w:tcPr>
          <w:p>
            <w:r>
              <w:t>Support Client</w:t>
            </w:r>
          </w:p>
        </w:tc>
        <w:tc>
          <w:tcPr>
            <w:tcW w:type="dxa" w:w="960"/>
          </w:tcPr>
          <w:p>
            <w:r>
              <w:t>Réponse aux tickets et assistance technique</w:t>
            </w:r>
          </w:p>
        </w:tc>
        <w:tc>
          <w:tcPr>
            <w:tcW w:type="dxa" w:w="960"/>
          </w:tcPr>
          <w:p>
            <w:r>
              <w:t>Intérêt légitime</w:t>
            </w:r>
          </w:p>
        </w:tc>
        <w:tc>
          <w:tcPr>
            <w:tcW w:type="dxa" w:w="960"/>
          </w:tcPr>
          <w:p>
            <w:r>
              <w:t>Nom, email, logs techniques</w:t>
            </w:r>
          </w:p>
        </w:tc>
        <w:tc>
          <w:tcPr>
            <w:tcW w:type="dxa" w:w="960"/>
          </w:tcPr>
          <w:p>
            <w:r>
              <w:t>Directeur Support</w:t>
            </w:r>
          </w:p>
        </w:tc>
        <w:tc>
          <w:tcPr>
            <w:tcW w:type="dxa" w:w="960"/>
          </w:tcPr>
          <w:p>
            <w:r>
              <w:t>2 ans</w:t>
            </w:r>
          </w:p>
        </w:tc>
        <w:tc>
          <w:tcPr>
            <w:tcW w:type="dxa" w:w="960"/>
          </w:tcPr>
          <w:p>
            <w:r>
              <w:t>Pseudonymisation, segmentation réseau</w:t>
            </w:r>
          </w:p>
        </w:tc>
        <w:tc>
          <w:tcPr>
            <w:tcW w:type="dxa" w:w="960"/>
          </w:tcPr>
          <w:p>
            <w:r>
              <w:t>Conforme</w:t>
            </w:r>
          </w:p>
        </w:tc>
      </w:tr>
      <w:tr>
        <w:tc>
          <w:tcPr>
            <w:tcW w:type="dxa" w:w="960"/>
          </w:tcPr>
          <w:p>
            <w:r>
              <w:t>RT-003</w:t>
            </w:r>
          </w:p>
        </w:tc>
        <w:tc>
          <w:tcPr>
            <w:tcW w:type="dxa" w:w="960"/>
          </w:tcPr>
          <w:p>
            <w:r>
              <w:t>R&amp;D IA</w:t>
            </w:r>
          </w:p>
        </w:tc>
        <w:tc>
          <w:tcPr>
            <w:tcW w:type="dxa" w:w="960"/>
          </w:tcPr>
          <w:p>
            <w:r>
              <w:t>Entraînement et amélioration des modèles IA</w:t>
            </w:r>
          </w:p>
        </w:tc>
        <w:tc>
          <w:tcPr>
            <w:tcW w:type="dxa" w:w="960"/>
          </w:tcPr>
          <w:p>
            <w:r>
              <w:t>Consentement explicite</w:t>
            </w:r>
          </w:p>
        </w:tc>
        <w:tc>
          <w:tcPr>
            <w:tcW w:type="dxa" w:w="960"/>
          </w:tcPr>
          <w:p>
            <w:r>
              <w:t>Données comportementales, logs anonymisés</w:t>
            </w:r>
          </w:p>
        </w:tc>
        <w:tc>
          <w:tcPr>
            <w:tcW w:type="dxa" w:w="960"/>
          </w:tcPr>
          <w:p>
            <w:r>
              <w:t>Directeur R&amp;D</w:t>
            </w:r>
          </w:p>
        </w:tc>
        <w:tc>
          <w:tcPr>
            <w:tcW w:type="dxa" w:w="960"/>
          </w:tcPr>
          <w:p>
            <w:r>
              <w:t>Anonymisation après 12 mois</w:t>
            </w:r>
          </w:p>
        </w:tc>
        <w:tc>
          <w:tcPr>
            <w:tcW w:type="dxa" w:w="960"/>
          </w:tcPr>
          <w:p>
            <w:r>
              <w:t>IA éthique, audit trimestriel, accès restreint</w:t>
            </w:r>
          </w:p>
        </w:tc>
        <w:tc>
          <w:tcPr>
            <w:tcW w:type="dxa" w:w="960"/>
          </w:tcPr>
          <w:p>
            <w:r>
              <w:t>Conforme</w:t>
            </w:r>
          </w:p>
        </w:tc>
      </w:tr>
      <w:tr>
        <w:tc>
          <w:tcPr>
            <w:tcW w:type="dxa" w:w="960"/>
          </w:tcPr>
          <w:p>
            <w:r>
              <w:t>RT-004</w:t>
            </w:r>
          </w:p>
        </w:tc>
        <w:tc>
          <w:tcPr>
            <w:tcW w:type="dxa" w:w="960"/>
          </w:tcPr>
          <w:p>
            <w:r>
              <w:t>Marketing Automation</w:t>
            </w:r>
          </w:p>
        </w:tc>
        <w:tc>
          <w:tcPr>
            <w:tcW w:type="dxa" w:w="960"/>
          </w:tcPr>
          <w:p>
            <w:r>
              <w:t>Campagnes marketing ciblées</w:t>
            </w:r>
          </w:p>
        </w:tc>
        <w:tc>
          <w:tcPr>
            <w:tcW w:type="dxa" w:w="960"/>
          </w:tcPr>
          <w:p>
            <w:r>
              <w:t>Consentement</w:t>
            </w:r>
          </w:p>
        </w:tc>
        <w:tc>
          <w:tcPr>
            <w:tcW w:type="dxa" w:w="960"/>
          </w:tcPr>
          <w:p>
            <w:r>
              <w:t>Emails, préférences utilisateurs</w:t>
            </w:r>
          </w:p>
        </w:tc>
        <w:tc>
          <w:tcPr>
            <w:tcW w:type="dxa" w:w="960"/>
          </w:tcPr>
          <w:p>
            <w:r>
              <w:t>CMO</w:t>
            </w:r>
          </w:p>
        </w:tc>
        <w:tc>
          <w:tcPr>
            <w:tcW w:type="dxa" w:w="960"/>
          </w:tcPr>
          <w:p>
            <w:r>
              <w:t>12 mois</w:t>
            </w:r>
          </w:p>
        </w:tc>
        <w:tc>
          <w:tcPr>
            <w:tcW w:type="dxa" w:w="960"/>
          </w:tcPr>
          <w:p>
            <w:r>
              <w:t>Opt-in strict, audit de prestataire</w:t>
            </w:r>
          </w:p>
        </w:tc>
        <w:tc>
          <w:tcPr>
            <w:tcW w:type="dxa" w:w="960"/>
          </w:tcPr>
          <w:p>
            <w:r>
              <w:t>Conforme</w:t>
            </w:r>
          </w:p>
        </w:tc>
      </w:tr>
      <w:tr>
        <w:tc>
          <w:tcPr>
            <w:tcW w:type="dxa" w:w="960"/>
          </w:tcPr>
          <w:p>
            <w:r>
              <w:t>RT-005</w:t>
            </w:r>
          </w:p>
        </w:tc>
        <w:tc>
          <w:tcPr>
            <w:tcW w:type="dxa" w:w="960"/>
          </w:tcPr>
          <w:p>
            <w:r>
              <w:t>RH &amp; Recrutement</w:t>
            </w:r>
          </w:p>
        </w:tc>
        <w:tc>
          <w:tcPr>
            <w:tcW w:type="dxa" w:w="960"/>
          </w:tcPr>
          <w:p>
            <w:r>
              <w:t>Gestion du personnel et recrutement</w:t>
            </w:r>
          </w:p>
        </w:tc>
        <w:tc>
          <w:tcPr>
            <w:tcW w:type="dxa" w:w="960"/>
          </w:tcPr>
          <w:p>
            <w:r>
              <w:t>Obligation légale + Contrat</w:t>
            </w:r>
          </w:p>
        </w:tc>
        <w:tc>
          <w:tcPr>
            <w:tcW w:type="dxa" w:w="960"/>
          </w:tcPr>
          <w:p>
            <w:r>
              <w:t>Identité, paie, évaluations</w:t>
            </w:r>
          </w:p>
        </w:tc>
        <w:tc>
          <w:tcPr>
            <w:tcW w:type="dxa" w:w="960"/>
          </w:tcPr>
          <w:p>
            <w:r>
              <w:t>DRH</w:t>
            </w:r>
          </w:p>
        </w:tc>
        <w:tc>
          <w:tcPr>
            <w:tcW w:type="dxa" w:w="960"/>
          </w:tcPr>
          <w:p>
            <w:r>
              <w:t>10 ans après départ</w:t>
            </w:r>
          </w:p>
        </w:tc>
        <w:tc>
          <w:tcPr>
            <w:tcW w:type="dxa" w:w="960"/>
          </w:tcPr>
          <w:p>
            <w:r>
              <w:t>Chiffrement, accès restreints, audits internes</w:t>
            </w:r>
          </w:p>
        </w:tc>
        <w:tc>
          <w:tcPr>
            <w:tcW w:type="dxa" w:w="960"/>
          </w:tcPr>
          <w:p>
            <w:r>
              <w:t>Conforme</w:t>
            </w:r>
          </w:p>
        </w:tc>
      </w:tr>
      <w:tr>
        <w:tc>
          <w:tcPr>
            <w:tcW w:type="dxa" w:w="960"/>
          </w:tcPr>
          <w:p>
            <w:r>
              <w:t>RT-006</w:t>
            </w:r>
          </w:p>
        </w:tc>
        <w:tc>
          <w:tcPr>
            <w:tcW w:type="dxa" w:w="960"/>
          </w:tcPr>
          <w:p>
            <w:r>
              <w:t>Audit &amp; Sécurité</w:t>
            </w:r>
          </w:p>
        </w:tc>
        <w:tc>
          <w:tcPr>
            <w:tcW w:type="dxa" w:w="960"/>
          </w:tcPr>
          <w:p>
            <w:r>
              <w:t>Surveillance et détection d’incidents</w:t>
            </w:r>
          </w:p>
        </w:tc>
        <w:tc>
          <w:tcPr>
            <w:tcW w:type="dxa" w:w="960"/>
          </w:tcPr>
          <w:p>
            <w:r>
              <w:t>Obligation légale + Intérêt légitime</w:t>
            </w:r>
          </w:p>
        </w:tc>
        <w:tc>
          <w:tcPr>
            <w:tcW w:type="dxa" w:w="960"/>
          </w:tcPr>
          <w:p>
            <w:r>
              <w:t>Logs systèmes, adresses IP</w:t>
            </w:r>
          </w:p>
        </w:tc>
        <w:tc>
          <w:tcPr>
            <w:tcW w:type="dxa" w:w="960"/>
          </w:tcPr>
          <w:p>
            <w:r>
              <w:t>RSSI</w:t>
            </w:r>
          </w:p>
        </w:tc>
        <w:tc>
          <w:tcPr>
            <w:tcW w:type="dxa" w:w="960"/>
          </w:tcPr>
          <w:p>
            <w:r>
              <w:t>18 mois</w:t>
            </w:r>
          </w:p>
        </w:tc>
        <w:tc>
          <w:tcPr>
            <w:tcW w:type="dxa" w:w="960"/>
          </w:tcPr>
          <w:p>
            <w:r>
              <w:t>SIEM, EDR, double authentification</w:t>
            </w:r>
          </w:p>
        </w:tc>
        <w:tc>
          <w:tcPr>
            <w:tcW w:type="dxa" w:w="960"/>
          </w:tcPr>
          <w:p>
            <w:r>
              <w:t>Conforme</w:t>
            </w:r>
          </w:p>
        </w:tc>
      </w:tr>
    </w:tbl>
    <w:p>
      <w:pPr>
        <w:pStyle w:val="Heading2"/>
      </w:pPr>
      <w:r>
        <w:t>3. Processus d’Évaluation et Mise à Jour</w:t>
      </w:r>
    </w:p>
    <w:p>
      <w:r>
        <w:t>• Vérification mensuelle des bases légales et des durées de conservation.</w:t>
        <w:br/>
        <w:t>• Analyse d'impact sur la vie privée (DPIA) pour chaque nouveau traitement.</w:t>
        <w:br/>
        <w:t>• Intégration des recommandations issues des audits internes et externes.</w:t>
        <w:br/>
        <w:t>• Mise à jour automatique en cas de changement réglementaire via ComplianceHub.ai.</w:t>
      </w:r>
    </w:p>
    <w:p>
      <w:pPr>
        <w:pStyle w:val="Heading2"/>
      </w:pPr>
      <w:r>
        <w:t>4. Automatisation et Contrôles</w:t>
      </w:r>
    </w:p>
    <w:p>
      <w:r>
        <w:t>• Surveillance continue par IA des anomalies dans les traitements.</w:t>
        <w:br/>
        <w:t>• Rapports prédictifs sur les risques RGPD émergents.</w:t>
        <w:br/>
        <w:t>• Tableaux de bord interactifs pour suivi par direction et métiers.</w:t>
        <w:br/>
        <w:t>• Alertes automatiques en cas de données sensibles détectées hors périmètre autorisé.</w:t>
      </w:r>
    </w:p>
    <w:p>
      <w:pPr>
        <w:pStyle w:val="Heading2"/>
      </w:pPr>
      <w:r>
        <w:t>Annexes</w:t>
      </w:r>
    </w:p>
    <w:p>
      <w:r>
        <w:t>• Modèles de registres pour nouveaux traitements.</w:t>
        <w:br/>
        <w:t>• Schémas de flux de données.</w:t>
        <w:br/>
        <w:t>• Modèle de DPIA.</w:t>
        <w:br/>
        <w:t>• RACI détaillé de la gouvernance RGPD.</w:t>
        <w:br/>
        <w:t>• Historique des mises à jour depuis 2023.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